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8C" w:rsidRPr="00D17C8C" w:rsidRDefault="00D17C8C" w:rsidP="00D17C8C">
      <w:pPr>
        <w:pStyle w:val="13NormDOC-header-1"/>
        <w:spacing w:before="0" w:line="288" w:lineRule="auto"/>
        <w:rPr>
          <w:rFonts w:ascii="Times New Roman" w:hAnsi="Times New Roman" w:cs="Times New Roman"/>
          <w:sz w:val="32"/>
          <w:szCs w:val="32"/>
        </w:rPr>
      </w:pPr>
      <w:r w:rsidRPr="00D17C8C">
        <w:rPr>
          <w:rFonts w:ascii="Times New Roman" w:hAnsi="Times New Roman" w:cs="Times New Roman"/>
          <w:sz w:val="32"/>
          <w:szCs w:val="32"/>
        </w:rPr>
        <w:t>Аналитическая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справка</w:t>
      </w:r>
      <w:r w:rsidRPr="00D17C8C">
        <w:rPr>
          <w:rFonts w:ascii="Times New Roman" w:hAnsi="Times New Roman" w:cs="Times New Roman"/>
          <w:sz w:val="32"/>
          <w:szCs w:val="32"/>
        </w:rPr>
        <w:br/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итогам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мониторинга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уровня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2CD">
        <w:rPr>
          <w:rFonts w:ascii="Times New Roman" w:hAnsi="Times New Roman" w:cs="Times New Roman"/>
          <w:sz w:val="32"/>
          <w:szCs w:val="32"/>
          <w:lang w:val="en-US"/>
        </w:rPr>
        <w:br/>
      </w:r>
      <w:r w:rsidRPr="00D17C8C">
        <w:rPr>
          <w:rFonts w:ascii="Times New Roman" w:hAnsi="Times New Roman" w:cs="Times New Roman"/>
          <w:sz w:val="32"/>
          <w:szCs w:val="32"/>
        </w:rPr>
        <w:t>функци</w:t>
      </w:r>
      <w:r w:rsidRPr="00D17C8C">
        <w:rPr>
          <w:rFonts w:ascii="Times New Roman" w:hAnsi="Times New Roman" w:cs="Times New Roman"/>
          <w:sz w:val="32"/>
          <w:szCs w:val="32"/>
        </w:rPr>
        <w:t>о</w:t>
      </w:r>
      <w:r w:rsidRPr="00D17C8C">
        <w:rPr>
          <w:rFonts w:ascii="Times New Roman" w:hAnsi="Times New Roman" w:cs="Times New Roman"/>
          <w:sz w:val="32"/>
          <w:szCs w:val="32"/>
        </w:rPr>
        <w:t>нальной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грамотности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обучающихся</w:t>
      </w:r>
      <w:r>
        <w:rPr>
          <w:rFonts w:ascii="Times New Roman" w:hAnsi="Times New Roman" w:cs="Times New Roman"/>
          <w:sz w:val="32"/>
          <w:szCs w:val="32"/>
        </w:rPr>
        <w:br/>
      </w:r>
      <w:r w:rsidRPr="00D17C8C"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>МБОУ</w:t>
      </w:r>
      <w:r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D17C8C"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>«Средняя</w:t>
      </w:r>
      <w:r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D17C8C"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>школа</w:t>
      </w:r>
      <w:r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D17C8C"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>№</w:t>
      </w:r>
      <w:r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D17C8C"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>1»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>2021/22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учебном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году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D17C8C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Fonts w:ascii="Times New Roman" w:hAnsi="Times New Roman" w:cs="Times New Roman"/>
          <w:sz w:val="32"/>
          <w:szCs w:val="32"/>
        </w:rPr>
        <w:t>уровне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C8C">
        <w:rPr>
          <w:rStyle w:val="propis"/>
          <w:rFonts w:ascii="Times New Roman" w:hAnsi="Times New Roman" w:cs="Times New Roman"/>
          <w:b w:val="0"/>
          <w:bCs w:val="0"/>
          <w:sz w:val="32"/>
          <w:szCs w:val="32"/>
        </w:rPr>
        <w:t>ООО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20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учебном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планом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ВШК,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планом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функционирования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ВС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планом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мероприятий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проводился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мониторинг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</w:t>
      </w:r>
      <w:r w:rsidRPr="00D17C8C">
        <w:rPr>
          <w:rFonts w:ascii="Times New Roman" w:hAnsi="Times New Roman" w:cs="Times New Roman"/>
          <w:sz w:val="26"/>
          <w:szCs w:val="26"/>
        </w:rPr>
        <w:t>т</w:t>
      </w:r>
      <w:r w:rsidRPr="00D17C8C">
        <w:rPr>
          <w:rFonts w:ascii="Times New Roman" w:hAnsi="Times New Roman" w:cs="Times New Roman"/>
          <w:sz w:val="26"/>
          <w:szCs w:val="26"/>
        </w:rPr>
        <w:t>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5–9-х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классах.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Мониторинг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включал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5–9-х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Информация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работах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рамках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мониторинга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уровня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сфо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мированности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20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учебном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году</w: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88"/>
        <w:gridCol w:w="1531"/>
        <w:gridCol w:w="1276"/>
        <w:gridCol w:w="1701"/>
        <w:gridCol w:w="1701"/>
      </w:tblGrid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Диагностическая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Математическая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20.12.2021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(97%)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Математическая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(95%)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мотность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8–9-е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(93%)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мотность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25.04.2022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8–9-е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(96%)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Читательская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15.03.2022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6–7-е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(93%)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Финансовая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8–9-е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(96%)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Глобальная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компетен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16.03.2022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(95%)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Креативное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мышление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17.04.2022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6-е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(97%)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proofErr w:type="gramStart"/>
      <w:r w:rsidRPr="00D17C8C">
        <w:rPr>
          <w:rStyle w:val="Bold"/>
          <w:rFonts w:ascii="Times New Roman" w:hAnsi="Times New Roman" w:cs="Times New Roman"/>
          <w:sz w:val="26"/>
          <w:szCs w:val="26"/>
        </w:rPr>
        <w:lastRenderedPageBreak/>
        <w:t>Цель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Bold"/>
          <w:rFonts w:ascii="Times New Roman" w:hAnsi="Times New Roman" w:cs="Times New Roman"/>
          <w:sz w:val="26"/>
          <w:szCs w:val="26"/>
        </w:rPr>
        <w:t>проведения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Bold"/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Bold"/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</w:t>
      </w:r>
      <w:r w:rsidRPr="00D17C8C">
        <w:rPr>
          <w:rFonts w:ascii="Times New Roman" w:hAnsi="Times New Roman" w:cs="Times New Roman"/>
          <w:sz w:val="26"/>
          <w:szCs w:val="26"/>
        </w:rPr>
        <w:t>у</w:t>
      </w:r>
      <w:r w:rsidRPr="00D17C8C">
        <w:rPr>
          <w:rFonts w:ascii="Times New Roman" w:hAnsi="Times New Roman" w:cs="Times New Roman"/>
          <w:sz w:val="26"/>
          <w:szCs w:val="26"/>
        </w:rPr>
        <w:t>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грамотности.</w:t>
      </w:r>
      <w:proofErr w:type="gramEnd"/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Всего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оценочные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процедуры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регионального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соответствии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приказом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Министерства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образования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науки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Энской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области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29.08.2021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№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145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проведении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процедур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году».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Диагностические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школьного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проводились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инструме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тария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электронного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банка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тренировочных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Российской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электронной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(РЭШ)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банка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комплексного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характера,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разработанных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педагогами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МБОУ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«Средняя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№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1».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использовался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балл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каждому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направлению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суммарного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балла,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полученного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заданий,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определялся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каждому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направлению.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Выделено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Fonts w:ascii="Times New Roman" w:hAnsi="Times New Roman" w:cs="Times New Roman"/>
          <w:sz w:val="26"/>
          <w:szCs w:val="26"/>
        </w:rPr>
        <w:t>недостаточный</w:t>
      </w:r>
      <w:proofErr w:type="gramEnd"/>
      <w:r w:rsidRPr="00D17C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низкий,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средний,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повышенный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высокий.</w:t>
      </w:r>
    </w:p>
    <w:p w:rsidR="00D17C8C" w:rsidRPr="00D17C8C" w:rsidRDefault="00D17C8C" w:rsidP="00D17C8C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Читательская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грамотность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читательской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приняли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</w:t>
      </w:r>
      <w:r w:rsidRPr="00D17C8C">
        <w:rPr>
          <w:rFonts w:ascii="Times New Roman" w:hAnsi="Times New Roman" w:cs="Times New Roman"/>
          <w:sz w:val="26"/>
          <w:szCs w:val="26"/>
        </w:rPr>
        <w:t>а</w:t>
      </w:r>
      <w:r w:rsidRPr="00D17C8C">
        <w:rPr>
          <w:rFonts w:ascii="Times New Roman" w:hAnsi="Times New Roman" w:cs="Times New Roman"/>
          <w:sz w:val="26"/>
          <w:szCs w:val="26"/>
        </w:rPr>
        <w:t>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7-х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Распределение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 w:rsidRPr="00D17C8C">
        <w:rPr>
          <w:rFonts w:ascii="Times New Roman" w:hAnsi="Times New Roman" w:cs="Times New Roman"/>
          <w:sz w:val="26"/>
          <w:szCs w:val="26"/>
        </w:rPr>
        <w:t>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читательской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2.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2.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уровням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читательской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1418"/>
        <w:gridCol w:w="1559"/>
        <w:gridCol w:w="1843"/>
        <w:gridCol w:w="1417"/>
      </w:tblGrid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(36%)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(44%)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(21%)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(47%)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(5%)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before="170" w:line="288" w:lineRule="auto"/>
        <w:ind w:left="283" w:right="283"/>
        <w:rPr>
          <w:rStyle w:val="Bold"/>
          <w:rFonts w:ascii="Times New Roman" w:hAnsi="Times New Roman" w:cs="Times New Roman"/>
          <w:sz w:val="26"/>
          <w:szCs w:val="26"/>
        </w:rPr>
      </w:pPr>
      <w:r w:rsidRPr="00D17C8C">
        <w:rPr>
          <w:rStyle w:val="Bold"/>
          <w:rFonts w:ascii="Times New Roman" w:hAnsi="Times New Roman" w:cs="Times New Roman"/>
          <w:sz w:val="26"/>
          <w:szCs w:val="26"/>
        </w:rPr>
        <w:t>Выводы:</w:t>
      </w:r>
    </w:p>
    <w:p w:rsidR="00D17C8C" w:rsidRPr="00D17C8C" w:rsidRDefault="00D17C8C" w:rsidP="00D17C8C">
      <w:pPr>
        <w:pStyle w:val="13NormDOC-txt"/>
        <w:spacing w:before="57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Почти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половина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7-х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имеют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средний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читательской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каждый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третий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обучающийся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достиг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среднего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уровня: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33%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имеют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lastRenderedPageBreak/>
        <w:t>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читательской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высокий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показывают,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наиболее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успешно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справляются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заданиями,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проверяющими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выявлять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информацию.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итогам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отмечаются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дефициты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требующих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оценку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проблеме,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интерпретировать,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рассуждать.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Самые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я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полученные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лично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значимой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ситуации.</w:t>
      </w:r>
    </w:p>
    <w:p w:rsidR="00D17C8C" w:rsidRPr="00D17C8C" w:rsidRDefault="00D17C8C" w:rsidP="00D17C8C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Математическая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грамотность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20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учебном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математической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 w:rsidRPr="00D17C8C">
        <w:rPr>
          <w:rFonts w:ascii="Times New Roman" w:hAnsi="Times New Roman" w:cs="Times New Roman"/>
          <w:sz w:val="26"/>
          <w:szCs w:val="26"/>
        </w:rPr>
        <w:t>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проводились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процедуры: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–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внутренняя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КИМ,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разработанным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профессионального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объединения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«Математика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форматика»;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–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внешняя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соотве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ствии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приказом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Министерства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образования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науки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Энской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области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29.08.2021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№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145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проведении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оценочных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процедур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ду».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приняли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участие:</w:t>
      </w:r>
    </w:p>
    <w:p w:rsidR="00D17C8C" w:rsidRPr="00D17C8C" w:rsidRDefault="00D17C8C" w:rsidP="00D17C8C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внутренняя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классов;</w:t>
      </w:r>
    </w:p>
    <w:p w:rsidR="00D17C8C" w:rsidRPr="00D17C8C" w:rsidRDefault="00D17C8C" w:rsidP="00D17C8C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внешняя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7-х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3.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3.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уровням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математической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126"/>
        <w:gridCol w:w="1134"/>
        <w:gridCol w:w="1276"/>
        <w:gridCol w:w="1843"/>
        <w:gridCol w:w="1842"/>
      </w:tblGrid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(44%)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(36%)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17C8C" w:rsidRPr="00D17C8C" w:rsidTr="00D1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(15%)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(21%)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pacing w:val="1"/>
          <w:sz w:val="26"/>
          <w:szCs w:val="26"/>
        </w:rPr>
      </w:pPr>
      <w:r w:rsidRPr="00D17C8C">
        <w:rPr>
          <w:rFonts w:ascii="Times New Roman" w:hAnsi="Times New Roman" w:cs="Times New Roman"/>
          <w:spacing w:val="1"/>
          <w:sz w:val="26"/>
          <w:szCs w:val="26"/>
        </w:rPr>
        <w:t>Следует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pacing w:val="1"/>
          <w:sz w:val="26"/>
          <w:szCs w:val="26"/>
        </w:rPr>
        <w:t>отметить,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pacing w:val="1"/>
          <w:sz w:val="26"/>
          <w:szCs w:val="26"/>
        </w:rPr>
        <w:t>что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pacing w:val="1"/>
          <w:sz w:val="26"/>
          <w:szCs w:val="26"/>
        </w:rPr>
        <w:t>результаты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внешней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диагностики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ниже,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чем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школьной.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Из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таблицы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видно,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высокий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повышенный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28%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6-х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классов.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н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достаточный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у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28%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шестиклассников.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Это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означает,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почти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каждый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че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вертый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шестиклассник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достигает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порога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грамотности.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7-х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классах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высокий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повышенный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грамо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lastRenderedPageBreak/>
        <w:t>ности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достигли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всего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20%,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но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очень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высок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процент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тех,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кто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показал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недо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с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таточный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–</w:t>
      </w:r>
      <w:r>
        <w:rPr>
          <w:rStyle w:val="propis"/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pacing w:val="1"/>
          <w:sz w:val="26"/>
          <w:szCs w:val="26"/>
        </w:rPr>
        <w:t>44%.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Сравнение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внешней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внутренней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1.</w:t>
      </w:r>
    </w:p>
    <w:p w:rsidR="00D17C8C" w:rsidRPr="00D17C8C" w:rsidRDefault="00D17C8C" w:rsidP="00D17C8C">
      <w:pPr>
        <w:pStyle w:val="13NormDOC-txt"/>
        <w:spacing w:before="283" w:after="57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Диаграмма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внутренней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математической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6–7-х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классах</w:t>
      </w:r>
    </w:p>
    <w:p w:rsidR="00D17C8C" w:rsidRPr="00D17C8C" w:rsidRDefault="001D1E9F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21301" cy="2540666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823" cy="254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8C" w:rsidRPr="00D17C8C" w:rsidRDefault="00D17C8C" w:rsidP="00D17C8C">
      <w:pPr>
        <w:pStyle w:val="13NormDOC-txt"/>
        <w:spacing w:before="283" w:after="57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включены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компетентнос</w:t>
      </w:r>
      <w:r w:rsidRPr="00D17C8C">
        <w:rPr>
          <w:rFonts w:ascii="Times New Roman" w:hAnsi="Times New Roman" w:cs="Times New Roman"/>
          <w:sz w:val="26"/>
          <w:szCs w:val="26"/>
        </w:rPr>
        <w:t>т</w:t>
      </w:r>
      <w:r w:rsidRPr="00D17C8C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областей:</w:t>
      </w:r>
    </w:p>
    <w:p w:rsidR="00D17C8C" w:rsidRPr="00D17C8C" w:rsidRDefault="00D17C8C" w:rsidP="001D1E9F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формулирование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математически;</w:t>
      </w:r>
    </w:p>
    <w:p w:rsidR="00D17C8C" w:rsidRPr="00D17C8C" w:rsidRDefault="00D17C8C" w:rsidP="001D1E9F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понятий,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фактов,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процедур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размышления;</w:t>
      </w:r>
    </w:p>
    <w:p w:rsidR="00D17C8C" w:rsidRPr="00D17C8C" w:rsidRDefault="00D17C8C" w:rsidP="001D1E9F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интерпретирование,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оценивание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результатов;</w:t>
      </w:r>
    </w:p>
    <w:p w:rsidR="00D17C8C" w:rsidRPr="00D17C8C" w:rsidRDefault="00D17C8C" w:rsidP="001D1E9F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рассуждение.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Структура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овладения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проверяемыми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умениями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4.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4.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Анализ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работы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проверяемым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умениям</w: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095"/>
        <w:gridCol w:w="1701"/>
        <w:gridCol w:w="1701"/>
      </w:tblGrid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Проверяемые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справившихся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заданиями,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6-е</w:t>
            </w: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7-е</w:t>
            </w: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классы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Формулировать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ситуацию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математически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Применять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математические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понятия,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факты,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цедуры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размышления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Интерпретировать,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оценивать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тематические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Математическое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рассуждение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показавшие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правило,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имеют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ограниченные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могут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относительно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знакомых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ситуациях.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характерно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прямое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хорошо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известных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знакомой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очевидных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вычислений.</w:t>
      </w:r>
    </w:p>
    <w:p w:rsidR="00D17C8C" w:rsidRPr="00D17C8C" w:rsidRDefault="00D17C8C" w:rsidP="00D17C8C">
      <w:pPr>
        <w:pStyle w:val="13NormDOC-txt"/>
        <w:spacing w:before="170" w:after="57" w:line="288" w:lineRule="auto"/>
        <w:ind w:left="283" w:right="283"/>
        <w:rPr>
          <w:rStyle w:val="Bold"/>
          <w:rFonts w:ascii="Times New Roman" w:hAnsi="Times New Roman" w:cs="Times New Roman"/>
          <w:sz w:val="26"/>
          <w:szCs w:val="26"/>
        </w:rPr>
      </w:pPr>
      <w:r w:rsidRPr="00D17C8C">
        <w:rPr>
          <w:rStyle w:val="Bold"/>
          <w:rFonts w:ascii="Times New Roman" w:hAnsi="Times New Roman" w:cs="Times New Roman"/>
          <w:sz w:val="26"/>
          <w:szCs w:val="26"/>
        </w:rPr>
        <w:t>Выводы: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демонстрируют,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28%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44%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7-го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43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Каждый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четвертый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обучающийся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почти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половина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7-х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43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самый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процент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освоения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«Применять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понятия,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факты,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процедуры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размышления»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(74%),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«Математическое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рассуждение»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(10%).</w:t>
      </w:r>
      <w:proofErr w:type="gramEnd"/>
    </w:p>
    <w:p w:rsidR="00D17C8C" w:rsidRPr="00D17C8C" w:rsidRDefault="00D17C8C" w:rsidP="00D17C8C">
      <w:pPr>
        <w:pStyle w:val="13NormDOC-txt"/>
        <w:spacing w:before="43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Наибольшее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количество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7-го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продемонстрировали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освоение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петенции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«Применять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понятия,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факты,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процедуры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размышления»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(60%),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«Формулировать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математически»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рованы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15%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участников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математической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header-2"/>
        <w:spacing w:before="510"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Естественно­научная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грамотность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20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учебном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естественно­научной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</w:t>
      </w:r>
      <w:r w:rsidRPr="00D17C8C">
        <w:rPr>
          <w:rFonts w:ascii="Times New Roman" w:hAnsi="Times New Roman" w:cs="Times New Roman"/>
          <w:sz w:val="26"/>
          <w:szCs w:val="26"/>
        </w:rPr>
        <w:t>а</w:t>
      </w:r>
      <w:r w:rsidRPr="00D17C8C">
        <w:rPr>
          <w:rFonts w:ascii="Times New Roman" w:hAnsi="Times New Roman" w:cs="Times New Roman"/>
          <w:sz w:val="26"/>
          <w:szCs w:val="26"/>
        </w:rPr>
        <w:t>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проводились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процедуры:</w:t>
      </w:r>
    </w:p>
    <w:p w:rsidR="00D17C8C" w:rsidRPr="00D17C8C" w:rsidRDefault="00D17C8C" w:rsidP="001D1E9F">
      <w:pPr>
        <w:pStyle w:val="13NormDOC-bul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внутренняя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КИМ,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разработанным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профессионального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объединения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«Естественные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науки»;</w:t>
      </w:r>
    </w:p>
    <w:p w:rsidR="00D17C8C" w:rsidRPr="00D17C8C" w:rsidRDefault="00D17C8C" w:rsidP="001D1E9F">
      <w:pPr>
        <w:pStyle w:val="13NormDOC-bul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внешняя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соответствии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приказом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Министерства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образования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науки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Энской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области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29.08.2021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№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145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проведении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оценочных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процедур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году».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приняли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8–9-х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6.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5.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внутренней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уровням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естес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венно­научной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(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27.01.2022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2184"/>
        <w:gridCol w:w="1417"/>
        <w:gridCol w:w="1418"/>
        <w:gridCol w:w="1842"/>
        <w:gridCol w:w="1701"/>
      </w:tblGrid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(44%)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(36%)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(21%)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6.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уровням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естестве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но­научной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(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25.04.2022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2184"/>
        <w:gridCol w:w="1417"/>
        <w:gridCol w:w="1418"/>
        <w:gridCol w:w="1842"/>
        <w:gridCol w:w="1701"/>
      </w:tblGrid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(44%)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(28%)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(36%)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(32%)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17C8C" w:rsidRPr="00D17C8C" w:rsidTr="001D1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(23%)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(9%)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целом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подтверждают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школьной,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одн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отличаются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некоторым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позициям.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Сравнительный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 w:rsidRPr="00D17C8C">
        <w:rPr>
          <w:rFonts w:ascii="Times New Roman" w:hAnsi="Times New Roman" w:cs="Times New Roman"/>
          <w:sz w:val="26"/>
          <w:szCs w:val="26"/>
        </w:rPr>
        <w:t>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диаграммах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2–5.</w:t>
      </w:r>
    </w:p>
    <w:p w:rsidR="00D17C8C" w:rsidRPr="00D17C8C" w:rsidRDefault="00D17C8C" w:rsidP="00D17C8C">
      <w:pPr>
        <w:pStyle w:val="13NormDOC-txt"/>
        <w:spacing w:before="340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Диаграмма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2.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Сравнение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результатов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внутренней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естестве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но­научной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8–9-х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классах</w:t>
      </w:r>
    </w:p>
    <w:p w:rsidR="00D17C8C" w:rsidRPr="00D17C8C" w:rsidRDefault="001D1E9F" w:rsidP="00D17C8C">
      <w:pPr>
        <w:pStyle w:val="13NormDOC-txt"/>
        <w:spacing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5859236" cy="2278529"/>
            <wp:effectExtent l="19050" t="0" r="8164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791" cy="22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lastRenderedPageBreak/>
        <w:t>Стабильно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высокий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подтвердили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4%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чающихся</w:t>
      </w:r>
      <w:proofErr w:type="gramEnd"/>
      <w:r w:rsidRPr="00D17C8C">
        <w:rPr>
          <w:rStyle w:val="propis"/>
          <w:rFonts w:ascii="Times New Roman" w:hAnsi="Times New Roman" w:cs="Times New Roman"/>
          <w:sz w:val="26"/>
          <w:szCs w:val="26"/>
        </w:rPr>
        <w:t>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Также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стабильно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средний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40%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11%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увеличилось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количество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школьников,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справились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заданиями.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Почти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вдвое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снизилось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количество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уровнем.</w:t>
      </w:r>
    </w:p>
    <w:p w:rsidR="00D17C8C" w:rsidRPr="00D17C8C" w:rsidRDefault="00D17C8C" w:rsidP="00D17C8C">
      <w:pPr>
        <w:pStyle w:val="13NormDOC-txt"/>
        <w:spacing w:before="340" w:after="57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Диаграмма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3.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Сравнение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результатов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внутренней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естестве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но­научной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классах</w:t>
      </w:r>
    </w:p>
    <w:p w:rsidR="00D17C8C" w:rsidRPr="00D17C8C" w:rsidRDefault="001D1E9F" w:rsidP="00D17C8C">
      <w:pPr>
        <w:pStyle w:val="13NormDOC-txt"/>
        <w:spacing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6299142" cy="2261817"/>
            <wp:effectExtent l="19050" t="0" r="6408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673" cy="22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справились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22%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школьников.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14%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школьной</w:t>
      </w:r>
      <w:proofErr w:type="gramEnd"/>
      <w:r w:rsidRPr="00D17C8C">
        <w:rPr>
          <w:rStyle w:val="propis"/>
          <w:rFonts w:ascii="Times New Roman" w:hAnsi="Times New Roman" w:cs="Times New Roman"/>
          <w:sz w:val="26"/>
          <w:szCs w:val="26"/>
        </w:rPr>
        <w:t>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Вместе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зилось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14%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количество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мотности.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целом,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данным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региональной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почти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половина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компетенциями,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составляющими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естественно-научную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ность.</w:t>
      </w:r>
    </w:p>
    <w:p w:rsidR="00D17C8C" w:rsidRPr="00D17C8C" w:rsidRDefault="00D17C8C" w:rsidP="00D17C8C">
      <w:pPr>
        <w:pStyle w:val="13NormDOC-txt"/>
        <w:spacing w:before="340" w:after="57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Диаграмма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4.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Сравнение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результатов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внутренней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естестве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но­научной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классах</w:t>
      </w:r>
    </w:p>
    <w:p w:rsidR="00D17C8C" w:rsidRPr="00D17C8C" w:rsidRDefault="00CB22CD" w:rsidP="00D17C8C">
      <w:pPr>
        <w:pStyle w:val="13NormDOC-txt"/>
        <w:spacing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6307308" cy="2256312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615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данным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увеличилось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количество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девятиклассников,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справи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работой.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половины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всех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выпускников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основной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школы.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Каждый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второй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девятиклассник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(52%)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владеет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грамотностью.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твердили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внутренней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40%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классов: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38%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–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средний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lastRenderedPageBreak/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–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высокий.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снизилось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количество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</w:p>
    <w:p w:rsidR="00D17C8C" w:rsidRPr="00D17C8C" w:rsidRDefault="00D17C8C" w:rsidP="00D17C8C">
      <w:pPr>
        <w:pStyle w:val="13NormDOC-txt"/>
        <w:spacing w:before="283" w:after="57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Диаграмма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5.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классам</w:t>
      </w:r>
    </w:p>
    <w:p w:rsidR="00D17C8C" w:rsidRPr="00D17C8C" w:rsidRDefault="00CB22CD" w:rsidP="00D17C8C">
      <w:pPr>
        <w:pStyle w:val="13NormDOC-txt"/>
        <w:spacing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6377747" cy="2255307"/>
            <wp:effectExtent l="19050" t="0" r="4003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272" cy="225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8C" w:rsidRPr="00D17C8C" w:rsidRDefault="00D17C8C" w:rsidP="00D17C8C">
      <w:pPr>
        <w:pStyle w:val="13NormDOC-txt"/>
        <w:spacing w:before="227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Bold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Bold"/>
          <w:rFonts w:ascii="Times New Roman" w:hAnsi="Times New Roman" w:cs="Times New Roman"/>
          <w:sz w:val="26"/>
          <w:szCs w:val="26"/>
        </w:rPr>
        <w:t>диагностик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Bold"/>
          <w:rFonts w:ascii="Times New Roman" w:hAnsi="Times New Roman" w:cs="Times New Roman"/>
          <w:sz w:val="26"/>
          <w:szCs w:val="26"/>
        </w:rPr>
        <w:t>по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Bold"/>
          <w:rFonts w:ascii="Times New Roman" w:hAnsi="Times New Roman" w:cs="Times New Roman"/>
          <w:sz w:val="26"/>
          <w:szCs w:val="26"/>
        </w:rPr>
        <w:t>классам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подтверждают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выводы.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Кроме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того,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судя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хождениям,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можно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сделать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вывод,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подготовленные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КИМ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зволяют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объективно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достижения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обучающимися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проверяемых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умений.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показавшие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правило,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имеют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ограниченные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гут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знакомых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ситуациях.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могут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давать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очевидные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объяснения,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явно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следуют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из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имеющихся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данных.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Кроме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того,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испытывают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трудности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самостоятельной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формулировке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описаний,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объяснений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выводов.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свидетельствует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дефицитах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письменной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речи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ванием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терминологии.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Структура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овладения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проверяемыми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умениями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7.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7.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Анализ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работы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проверяемым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умениям</w: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237"/>
        <w:gridCol w:w="1559"/>
        <w:gridCol w:w="1701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Проверяемые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справившихся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заданиями,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8-й</w:t>
            </w: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9-й</w:t>
            </w: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класс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Интерпретация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данных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научных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казатель</w:t>
            </w:r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дл</w:t>
            </w:r>
            <w:proofErr w:type="gramEnd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получения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выводов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Применение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естественно-научных</w:t>
            </w:r>
            <w:proofErr w:type="spellEnd"/>
            <w:proofErr w:type="gram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методов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исслед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Научное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объяснение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явлений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сравнения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академической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успеваемости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предм</w:t>
      </w:r>
      <w:r w:rsidRPr="00D17C8C">
        <w:rPr>
          <w:rFonts w:ascii="Times New Roman" w:hAnsi="Times New Roman" w:cs="Times New Roman"/>
          <w:sz w:val="26"/>
          <w:szCs w:val="26"/>
        </w:rPr>
        <w:t>е</w:t>
      </w:r>
      <w:r w:rsidRPr="00D17C8C">
        <w:rPr>
          <w:rFonts w:ascii="Times New Roman" w:hAnsi="Times New Roman" w:cs="Times New Roman"/>
          <w:sz w:val="26"/>
          <w:szCs w:val="26"/>
        </w:rPr>
        <w:t>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естественно­научного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цикла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естественно­научной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8–9-х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 w:rsidRPr="00D17C8C">
        <w:rPr>
          <w:rFonts w:ascii="Times New Roman" w:hAnsi="Times New Roman" w:cs="Times New Roman"/>
          <w:sz w:val="26"/>
          <w:szCs w:val="26"/>
        </w:rPr>
        <w:t>сах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(по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внешней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диагностики).</w:t>
      </w:r>
    </w:p>
    <w:p w:rsidR="00D17C8C" w:rsidRPr="00D17C8C" w:rsidRDefault="00D17C8C" w:rsidP="00D17C8C">
      <w:pPr>
        <w:pStyle w:val="13NormDOC-txt"/>
        <w:spacing w:before="227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8.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Сравнение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результатов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внешней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с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уровнем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академической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усп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ваемости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предметам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предметной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области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«Естественные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науки»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(биология,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физика,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химия)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1984"/>
        <w:gridCol w:w="3686"/>
        <w:gridCol w:w="2551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успевающих</w:t>
            </w:r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учеников,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«5»,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учеников,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преодолевших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естественно­научной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(средний,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уровни),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учеников,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справившихся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работой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(недостаточный,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уровни),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55,3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44,7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видно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из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таблицы,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успеваемости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обученности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коррелирует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Следовательно,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программа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технологии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биологии,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физике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химии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способствуют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учеников.</w:t>
      </w:r>
    </w:p>
    <w:p w:rsidR="00D17C8C" w:rsidRPr="00D17C8C" w:rsidRDefault="00D17C8C" w:rsidP="00D17C8C">
      <w:pPr>
        <w:pStyle w:val="13NormDOC-txt"/>
        <w:spacing w:before="170" w:after="57" w:line="288" w:lineRule="auto"/>
        <w:ind w:left="283" w:right="283"/>
        <w:rPr>
          <w:rStyle w:val="Bold"/>
          <w:rFonts w:ascii="Times New Roman" w:hAnsi="Times New Roman" w:cs="Times New Roman"/>
          <w:sz w:val="26"/>
          <w:szCs w:val="26"/>
        </w:rPr>
      </w:pPr>
      <w:r w:rsidRPr="00D17C8C">
        <w:rPr>
          <w:rStyle w:val="Bold"/>
          <w:rFonts w:ascii="Times New Roman" w:hAnsi="Times New Roman" w:cs="Times New Roman"/>
          <w:sz w:val="26"/>
          <w:szCs w:val="26"/>
        </w:rPr>
        <w:t>Выводы: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демонстрируют,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42%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52%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Большинство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самый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процент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(56%)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освоения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тенции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«Применение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естественно-научных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методов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исследования».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каждый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четвертый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владеет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научного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объяснения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явлений.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5.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Программа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технологии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биологии,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физике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химии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способствуют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учеников.</w:t>
      </w:r>
    </w:p>
    <w:p w:rsidR="00D17C8C" w:rsidRPr="00D17C8C" w:rsidRDefault="00D17C8C" w:rsidP="00D17C8C">
      <w:pPr>
        <w:pStyle w:val="13NormDOC-header-2"/>
        <w:spacing w:before="340"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Финансовая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грамотность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финансовой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приняли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Распределение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 w:rsidRPr="00D17C8C">
        <w:rPr>
          <w:rFonts w:ascii="Times New Roman" w:hAnsi="Times New Roman" w:cs="Times New Roman"/>
          <w:sz w:val="26"/>
          <w:szCs w:val="26"/>
        </w:rPr>
        <w:t>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финансовой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9.</w:t>
      </w:r>
    </w:p>
    <w:p w:rsidR="00D17C8C" w:rsidRPr="00D17C8C" w:rsidRDefault="00D17C8C" w:rsidP="00D17C8C">
      <w:pPr>
        <w:pStyle w:val="13NormDOC-txt"/>
        <w:spacing w:before="227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9.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диагностики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уровням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финансовой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мотности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(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26.04.2022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127"/>
        <w:gridCol w:w="1417"/>
        <w:gridCol w:w="1418"/>
        <w:gridCol w:w="1842"/>
        <w:gridCol w:w="1701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(44%)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(60%)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(52%)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(6%)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проверялись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умения: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8C" w:rsidRPr="00D17C8C" w:rsidRDefault="00D17C8C" w:rsidP="00CB22CD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понимание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продуктов,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рисков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понятий;</w:t>
      </w:r>
    </w:p>
    <w:p w:rsidR="00D17C8C" w:rsidRPr="00D17C8C" w:rsidRDefault="00D17C8C" w:rsidP="00CB22CD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способность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получать,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понимать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оценивать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релевантную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инфо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мацию,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необходимую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принятия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возможных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следствий;</w:t>
      </w:r>
    </w:p>
    <w:p w:rsidR="00D17C8C" w:rsidRPr="00D17C8C" w:rsidRDefault="00D17C8C" w:rsidP="00CB22CD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способность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принимать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эффективные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различных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циях;</w:t>
      </w:r>
    </w:p>
    <w:p w:rsidR="00D17C8C" w:rsidRPr="00D17C8C" w:rsidRDefault="00D17C8C" w:rsidP="00CB22CD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понимание,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покупках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других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контекстах,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также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принимать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ветствующие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отношению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себе,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другим,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обществу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окружающей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среде.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Структура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овладения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проверяемыми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умениями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10.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10.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Анализ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работы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проверяемым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умениям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953"/>
        <w:gridCol w:w="1701"/>
        <w:gridCol w:w="1559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Проверяемые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справившихся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заданиями,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8-й</w:t>
            </w: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класс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9-й</w:t>
            </w: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класс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Знание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понимание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финансовых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продуктов,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­финансовых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рисков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понятий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Способность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получать,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понимать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оц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нивать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релевантную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информацию,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необходимую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принятия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решений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учетом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возможных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совых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следствий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Способность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принимать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эффективные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решения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личных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финансовых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ситуациях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Применение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знаний,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понимание,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умение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применять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соответствующие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знания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покупках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других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финансовых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контекстах,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также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умение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ответствующие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решения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отношению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себе,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другим,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общ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ству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окружающей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среде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before="170" w:after="57" w:line="288" w:lineRule="auto"/>
        <w:ind w:left="283" w:right="283"/>
        <w:rPr>
          <w:rStyle w:val="Bold"/>
          <w:rFonts w:ascii="Times New Roman" w:hAnsi="Times New Roman" w:cs="Times New Roman"/>
          <w:sz w:val="26"/>
          <w:szCs w:val="26"/>
        </w:rPr>
      </w:pPr>
      <w:r w:rsidRPr="00D17C8C">
        <w:rPr>
          <w:rStyle w:val="Bold"/>
          <w:rFonts w:ascii="Times New Roman" w:hAnsi="Times New Roman" w:cs="Times New Roman"/>
          <w:sz w:val="26"/>
          <w:szCs w:val="26"/>
        </w:rPr>
        <w:t>Выводы: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демонстрируют,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Большинство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самый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процент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(61%)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освоения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тенции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«Способность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получать,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понимать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оценивать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релевантную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формацию,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необходимую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принятия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возможных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следствий».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Хуже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всего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учащиеся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справились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жизни.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каждый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шестой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8-го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каждый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пятый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тенцией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покупках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других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финансовых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контекстах.</w:t>
      </w:r>
    </w:p>
    <w:p w:rsidR="00D17C8C" w:rsidRPr="00D17C8C" w:rsidRDefault="00D17C8C" w:rsidP="00D17C8C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Глобальные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компетенции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Глобальные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компетенции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многомерная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способность,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включает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себя:</w:t>
      </w:r>
    </w:p>
    <w:p w:rsidR="00D17C8C" w:rsidRPr="00D17C8C" w:rsidRDefault="00D17C8C" w:rsidP="00CB22CD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способность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изучать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глобальные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межкультурные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проблемы;</w:t>
      </w:r>
    </w:p>
    <w:p w:rsidR="00D17C8C" w:rsidRPr="00D17C8C" w:rsidRDefault="00D17C8C" w:rsidP="00CB22CD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понимать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ценить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различные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взгляды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мировоззрения;</w:t>
      </w:r>
    </w:p>
    <w:p w:rsidR="00D17C8C" w:rsidRPr="00D17C8C" w:rsidRDefault="00D17C8C" w:rsidP="00CB22CD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успешно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уважительно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взаимодействовать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другими;</w:t>
      </w:r>
    </w:p>
    <w:p w:rsidR="00D17C8C" w:rsidRPr="00D17C8C" w:rsidRDefault="00D17C8C" w:rsidP="00CB22CD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принимать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коллективного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благополучия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устойчивого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развития.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приняли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классов.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693"/>
        <w:gridCol w:w="2835"/>
        <w:gridCol w:w="2410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Справились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заданиями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Справились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заданиями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частично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справились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заданиями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(30%)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(58%)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&lt;...&gt;</w:t>
      </w:r>
    </w:p>
    <w:p w:rsidR="00D17C8C" w:rsidRPr="00D17C8C" w:rsidRDefault="00D17C8C" w:rsidP="00D17C8C">
      <w:pPr>
        <w:pStyle w:val="13NormDOC-txt"/>
        <w:spacing w:before="170" w:after="57" w:line="288" w:lineRule="auto"/>
        <w:ind w:left="283" w:right="283"/>
        <w:rPr>
          <w:rStyle w:val="Bold"/>
          <w:rFonts w:ascii="Times New Roman" w:hAnsi="Times New Roman" w:cs="Times New Roman"/>
          <w:sz w:val="26"/>
          <w:szCs w:val="26"/>
        </w:rPr>
      </w:pPr>
      <w:r w:rsidRPr="00D17C8C">
        <w:rPr>
          <w:rStyle w:val="Bold"/>
          <w:rFonts w:ascii="Times New Roman" w:hAnsi="Times New Roman" w:cs="Times New Roman"/>
          <w:sz w:val="26"/>
          <w:szCs w:val="26"/>
        </w:rPr>
        <w:t>Выводы: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Большинство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(70%)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оценивать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информацию,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формулировать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арг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менты,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объяснять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причины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возникновения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половины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(56%)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могут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распознавать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анализировать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перспе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тивы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ситуаций.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четверти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(75%)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могут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оценивать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действия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последствия,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раскр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ы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причинно-следственные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связи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между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действиями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результатами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(последс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виями).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Подавляющее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большинство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(90%)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прогнозировать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последствия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действий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отношений.</w:t>
      </w:r>
    </w:p>
    <w:p w:rsidR="00D17C8C" w:rsidRPr="00D17C8C" w:rsidRDefault="00D17C8C" w:rsidP="00D17C8C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Креативное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мышление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мышления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использовалась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комплексная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работа</w:t>
      </w:r>
      <w:r w:rsidRPr="00D17C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продемонстрировать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компетентностями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выдвижения,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доработки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идей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социальных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проблем.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приняли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учеников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11.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11.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комплексной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работы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«Диагностика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сформирова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ности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Italic"/>
          <w:rFonts w:ascii="Times New Roman" w:hAnsi="Times New Roman" w:cs="Times New Roman"/>
          <w:sz w:val="26"/>
          <w:szCs w:val="26"/>
        </w:rPr>
        <w:t>креативного</w:t>
      </w:r>
      <w:proofErr w:type="spellEnd"/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мышления»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4"/>
        <w:gridCol w:w="1900"/>
        <w:gridCol w:w="1418"/>
        <w:gridCol w:w="1559"/>
        <w:gridCol w:w="1843"/>
        <w:gridCol w:w="1842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(24%)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(36%)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(4%)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(12%)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(40%)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(8%)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(16%)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(22%)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(38%)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(18%)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Из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таблицы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видно,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половина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шестиклассников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смогла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продемонстрировать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степень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креативного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мышления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среднем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(38%)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(18%)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уровнях,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третья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часть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(38%)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справилась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диагностики.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&lt;...&gt;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lastRenderedPageBreak/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проверочной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показали,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большинства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</w:t>
      </w:r>
      <w:r w:rsidRPr="00D17C8C">
        <w:rPr>
          <w:rFonts w:ascii="Times New Roman" w:hAnsi="Times New Roman" w:cs="Times New Roman"/>
          <w:sz w:val="26"/>
          <w:szCs w:val="26"/>
        </w:rPr>
        <w:t>х</w:t>
      </w:r>
      <w:r w:rsidRPr="00D17C8C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6-х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сформированы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умения:</w:t>
      </w:r>
    </w:p>
    <w:p w:rsidR="00D17C8C" w:rsidRPr="00D17C8C" w:rsidRDefault="00D17C8C" w:rsidP="00CB22CD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выдвигать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различные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причины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обсуждаемой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ситуации;</w:t>
      </w:r>
    </w:p>
    <w:p w:rsidR="00D17C8C" w:rsidRPr="00D17C8C" w:rsidRDefault="00D17C8C" w:rsidP="00CB22CD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формулировать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выдвигать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разнообразные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идеи;</w:t>
      </w:r>
    </w:p>
    <w:p w:rsidR="00D17C8C" w:rsidRPr="00D17C8C" w:rsidRDefault="00D17C8C" w:rsidP="00CB22CD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выбирать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наиболее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удачные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идеи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понимания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обсуждаемой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проблемы.</w:t>
      </w:r>
    </w:p>
    <w:p w:rsidR="00D17C8C" w:rsidRPr="00D17C8C" w:rsidRDefault="00D17C8C" w:rsidP="00D17C8C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br/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педагогов.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Предметом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система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внеурочных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занятиях.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сопоставительный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академических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 w:rsidRPr="00D17C8C">
        <w:rPr>
          <w:rFonts w:ascii="Times New Roman" w:hAnsi="Times New Roman" w:cs="Times New Roman"/>
          <w:sz w:val="26"/>
          <w:szCs w:val="26"/>
        </w:rPr>
        <w:t>пешностью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прин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 w:rsidRPr="00D17C8C">
        <w:rPr>
          <w:rFonts w:ascii="Times New Roman" w:hAnsi="Times New Roman" w:cs="Times New Roman"/>
          <w:sz w:val="26"/>
          <w:szCs w:val="26"/>
        </w:rPr>
        <w:t>мавших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диагностиках.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выявлены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фиксируется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наибольший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процент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диагностиках,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расхождение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зультатов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результатами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академической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успеваемости.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 w:rsidRPr="00D17C8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12.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12.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анализа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работы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Сопоставительный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анализ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академических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результатов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обучающихся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17"/>
        <w:gridCol w:w="737"/>
        <w:gridCol w:w="964"/>
        <w:gridCol w:w="1659"/>
        <w:gridCol w:w="1191"/>
        <w:gridCol w:w="1687"/>
        <w:gridCol w:w="1984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Предмет,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вающих</w:t>
            </w:r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«5»,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учен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преод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левших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(сре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уровни),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учен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спр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шихся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работой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достато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уровни),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учит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тика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ческая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мотность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Кротова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О.В.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язык</w:t>
            </w:r>
          </w:p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Литер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тура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Читател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ь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ская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Мелехина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М.А.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&lt;...&gt;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Естестве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но-научная</w:t>
            </w:r>
            <w:proofErr w:type="spellEnd"/>
            <w:proofErr w:type="gram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Акимова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М.В.</w:t>
            </w:r>
          </w:p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Сушкин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А.Б.</w:t>
            </w:r>
          </w:p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Ковалева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А.В.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мире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нансов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(курс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урочной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деятельн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балл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ь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оцен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Финансовая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Котова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Ю.Б.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Учимся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жизни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(курс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урочной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деятельн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балл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ь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оцен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Глобальные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компетенции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Макарова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У.Д.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планом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ВШК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2021/22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организовано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тематическое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посещение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 w:rsidRPr="00D17C8C">
        <w:rPr>
          <w:rFonts w:ascii="Times New Roman" w:hAnsi="Times New Roman" w:cs="Times New Roman"/>
          <w:sz w:val="26"/>
          <w:szCs w:val="26"/>
        </w:rPr>
        <w:t>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13.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13.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анализа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работы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Тематическое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посещение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559"/>
        <w:gridCol w:w="2552"/>
        <w:gridCol w:w="4110"/>
      </w:tblGrid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посещенных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уроков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уроков,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велась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формированию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CB2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Установлено,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(45%)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велась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систематическая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 w:rsidRPr="00D17C8C">
        <w:rPr>
          <w:rFonts w:ascii="Times New Roman" w:hAnsi="Times New Roman" w:cs="Times New Roman"/>
          <w:sz w:val="26"/>
          <w:szCs w:val="26"/>
        </w:rPr>
        <w:t>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планом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ВШК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планом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функционирования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ВСОКО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изучена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 w:rsidRPr="00D17C8C">
        <w:rPr>
          <w:rFonts w:ascii="Times New Roman" w:hAnsi="Times New Roman" w:cs="Times New Roman"/>
          <w:sz w:val="26"/>
          <w:szCs w:val="26"/>
        </w:rPr>
        <w:t>анализирована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которой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проверялась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документация,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посещались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проводились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беседы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анкетирование.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14.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14.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Анализ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компетентности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мотности.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Мониторинг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школьной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документации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617"/>
        <w:gridCol w:w="1104"/>
        <w:gridCol w:w="1248"/>
        <w:gridCol w:w="1077"/>
        <w:gridCol w:w="2099"/>
        <w:gridCol w:w="2551"/>
      </w:tblGrid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2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Использует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фун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циональной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мотности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польз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ЦОР</w:t>
            </w:r>
          </w:p>
        </w:tc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Владеет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комп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тенциями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ставлению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направле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функционал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грамотн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Прошел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курсы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квалиф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формир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функци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грамотн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uppressAutoHyphens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Задает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Абрамова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М.В.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Авдеева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В.Б.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Волкова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И.Т.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Яковлев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И.В.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(46%)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(25%)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(64%)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(31%)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(33%)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видно,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педагогов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(33%)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прошли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курсы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квалиф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Меньше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полов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(46%)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используют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25%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дом.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Несмотря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то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большинство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используют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ЭОР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ЦОР,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это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способствует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только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31%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владеет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составлению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направленных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Можно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сделать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вывод,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обусловлены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уделяют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внимания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учеников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владеют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достаточной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степени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компетенциями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мониторинга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проведена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оценка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</w:t>
      </w:r>
      <w:r w:rsidRPr="00D17C8C">
        <w:rPr>
          <w:rFonts w:ascii="Times New Roman" w:hAnsi="Times New Roman" w:cs="Times New Roman"/>
          <w:sz w:val="26"/>
          <w:szCs w:val="26"/>
        </w:rPr>
        <w:t>к</w:t>
      </w:r>
      <w:r w:rsidRPr="00D17C8C">
        <w:rPr>
          <w:rFonts w:ascii="Times New Roman" w:hAnsi="Times New Roman" w:cs="Times New Roman"/>
          <w:sz w:val="26"/>
          <w:szCs w:val="26"/>
        </w:rPr>
        <w:t>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внеурочных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занятиях.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Всего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планом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</w:t>
      </w:r>
      <w:r w:rsidRPr="00D17C8C">
        <w:rPr>
          <w:rFonts w:ascii="Times New Roman" w:hAnsi="Times New Roman" w:cs="Times New Roman"/>
          <w:sz w:val="26"/>
          <w:szCs w:val="26"/>
        </w:rPr>
        <w:t>т</w:t>
      </w:r>
      <w:r w:rsidRPr="00D17C8C">
        <w:rPr>
          <w:rFonts w:ascii="Times New Roman" w:hAnsi="Times New Roman" w:cs="Times New Roman"/>
          <w:sz w:val="26"/>
          <w:szCs w:val="26"/>
        </w:rPr>
        <w:t>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20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21/22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учебный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внеурочной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мер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 w:rsidRPr="00D17C8C">
        <w:rPr>
          <w:rFonts w:ascii="Times New Roman" w:hAnsi="Times New Roman" w:cs="Times New Roman"/>
          <w:sz w:val="26"/>
          <w:szCs w:val="26"/>
        </w:rPr>
        <w:t>приятия,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направленные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грамотности.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проводились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формате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тематических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количестве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15.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15.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Информация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внеурочных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мероприятиях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грамотности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559"/>
        <w:gridCol w:w="3741"/>
        <w:gridCol w:w="1221"/>
        <w:gridCol w:w="1842"/>
      </w:tblGrid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Неделя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чит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тельской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мотности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11.10.2021–15.10.2021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Интерактивная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викторина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«За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строкой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новостей»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7-е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Литературная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битва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«Знай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наших</w:t>
            </w:r>
            <w:proofErr w:type="gramEnd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5–6-е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Неделя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матической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06.12.2021–10.12.2021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Внеурочное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занятие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матике.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игра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«Путь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ческий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олимп»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8-е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Неделя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ест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ственно-научной</w:t>
            </w:r>
            <w:proofErr w:type="spellEnd"/>
            <w:proofErr w:type="gram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мотности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17.01.2022–21.01.2022</w:t>
            </w:r>
          </w:p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час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«Проблемы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щиты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окружающего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мира»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6-е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Внеурочное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занятие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«Биохимия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наука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будущего»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9-е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Неделя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фина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совой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грамо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ности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кре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тивного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мы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14.03.2022–18.03.2022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Внеурочное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занятие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кре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тивному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мышлению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«Задачи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лока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Холмса»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6-е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Игра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Смешарики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мире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нансов»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5-е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Каждое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учебное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было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проанализировано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критериям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оценено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определенным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количеством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баллов.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Анализ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проходил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четырем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компонентам: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целевому,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содерж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тельному,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организационно-деятельностному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результативному.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все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были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переведены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соответствии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шкалой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перевода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определены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проведения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занятия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Инфо</w:t>
      </w:r>
      <w:r w:rsidRPr="00D17C8C">
        <w:rPr>
          <w:rFonts w:ascii="Times New Roman" w:hAnsi="Times New Roman" w:cs="Times New Roman"/>
          <w:sz w:val="26"/>
          <w:szCs w:val="26"/>
        </w:rPr>
        <w:t>р</w:t>
      </w:r>
      <w:r w:rsidRPr="00D17C8C">
        <w:rPr>
          <w:rFonts w:ascii="Times New Roman" w:hAnsi="Times New Roman" w:cs="Times New Roman"/>
          <w:sz w:val="26"/>
          <w:szCs w:val="26"/>
        </w:rPr>
        <w:t>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уровне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представлена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16.</w:t>
      </w: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Таблица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16.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внеурочных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занятий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грамотн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сти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3629"/>
        <w:gridCol w:w="1673"/>
        <w:gridCol w:w="851"/>
        <w:gridCol w:w="992"/>
        <w:gridCol w:w="992"/>
        <w:gridCol w:w="1559"/>
      </w:tblGrid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D17C8C" w:rsidRPr="00D17C8C" w:rsidRDefault="00D17C8C" w:rsidP="00D17C8C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Интерактивная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викторина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«За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строкой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новостей»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Фролова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М.В.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Литературная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битва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«Знай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наших</w:t>
            </w:r>
            <w:proofErr w:type="gramEnd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Потапова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Е.Н.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Внеурочное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занятие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е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матике.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«Путь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математический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олимп»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Абрамова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М.В.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a9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D17C8C" w:rsidRPr="00D17C8C" w:rsidTr="00764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D17C8C" w:rsidRPr="00D17C8C" w:rsidRDefault="00D17C8C" w:rsidP="00D17C8C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C8C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D17C8C" w:rsidRPr="00D17C8C" w:rsidRDefault="00D17C8C" w:rsidP="00D17C8C">
      <w:pPr>
        <w:pStyle w:val="13NormDOC-txt"/>
        <w:spacing w:before="283" w:line="288" w:lineRule="auto"/>
        <w:ind w:left="283" w:right="283"/>
        <w:rPr>
          <w:rStyle w:val="Italic"/>
          <w:rFonts w:ascii="Times New Roman" w:hAnsi="Times New Roman" w:cs="Times New Roman"/>
          <w:sz w:val="26"/>
          <w:szCs w:val="26"/>
        </w:rPr>
      </w:pPr>
      <w:r w:rsidRPr="00D17C8C">
        <w:rPr>
          <w:rStyle w:val="Italic"/>
          <w:rFonts w:ascii="Times New Roman" w:hAnsi="Times New Roman" w:cs="Times New Roman"/>
          <w:sz w:val="26"/>
          <w:szCs w:val="26"/>
        </w:rPr>
        <w:t>Диаграмма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6.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проведения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внеурочного</w:t>
      </w:r>
      <w:r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Italic"/>
          <w:rFonts w:ascii="Times New Roman" w:hAnsi="Times New Roman" w:cs="Times New Roman"/>
          <w:sz w:val="26"/>
          <w:szCs w:val="26"/>
        </w:rPr>
        <w:t>занятия</w:t>
      </w:r>
    </w:p>
    <w:p w:rsidR="00D17C8C" w:rsidRPr="00D17C8C" w:rsidRDefault="00764164" w:rsidP="00D17C8C">
      <w:pPr>
        <w:pStyle w:val="13NormDOC-txt"/>
        <w:spacing w:before="283" w:line="288" w:lineRule="auto"/>
        <w:ind w:left="283" w:right="283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6504123" cy="2326718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947" cy="232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Из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диаграммы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видно,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большинство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учителей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продемонстрировали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базовый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организации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внеурочного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занятия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(53%).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составил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значительную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долю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–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29%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занятий.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есть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почти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каждое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третье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внеурочное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занятие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проведено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уровне.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Высокий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составил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12%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посещенных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занятий.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–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Симонова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О.В.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Платонова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М.В.</w:t>
      </w:r>
    </w:p>
    <w:p w:rsidR="00D17C8C" w:rsidRPr="00D17C8C" w:rsidRDefault="00D17C8C" w:rsidP="00D17C8C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Общие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выводы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высокие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обусловлены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затруднениями,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я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занными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новизной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формата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содержания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задач,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также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недостаточным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опытом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направленных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оценку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показывают,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наиболее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успешно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справляются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заданиями,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проверяющими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выявлять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информацию.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Отмечаются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дефициты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требующих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давать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оценку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проблемы,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интерпретировать,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рассуждать.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связаны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неумением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предметные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учебно-практических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задач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(проблем).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5.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Самые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связаны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неумением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применять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полученные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лично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значимой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6.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всем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видам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общеучебных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основным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из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является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информацией,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представленной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различных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(те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стах,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таблицах,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диаграммах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рисунках).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7.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Причины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невысоких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направлениям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большинства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могут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быть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связаны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что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процессе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школьники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практически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имеют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опыта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междисциплинарного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рактера,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общеучебных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осуществляется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преимущественно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границах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предметов;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обучающиеся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редко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оказываются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жизненных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ситуациях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числе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моделируемых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процессе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обучения),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необходимо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социальные,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научные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личные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задачи.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8.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Подготовленные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КИМ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всегда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позволяют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объективно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уровень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достижения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проверяемых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умений.</w:t>
      </w:r>
    </w:p>
    <w:p w:rsidR="00D17C8C" w:rsidRPr="00D17C8C" w:rsidRDefault="00D17C8C" w:rsidP="00D17C8C">
      <w:pPr>
        <w:pStyle w:val="13NormDOC-header-2"/>
        <w:spacing w:before="340" w:after="170" w:line="288" w:lineRule="auto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МБОУ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«Средняя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№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1»</w:t>
      </w:r>
      <w:r w:rsidRPr="00D17C8C">
        <w:rPr>
          <w:rFonts w:ascii="Times New Roman" w:hAnsi="Times New Roman" w:cs="Times New Roman"/>
          <w:sz w:val="26"/>
          <w:szCs w:val="26"/>
        </w:rPr>
        <w:t>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Дополнить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разделы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основной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образовательной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программы: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«Программа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УУД»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ФГОС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ООО,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утв.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приказом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Минпросвещения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31.05.2021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№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287),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«Пр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грамма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УУД»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ФГОС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ООО,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утв.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приказом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Минобрнауки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17.12.2010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№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1897)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«Система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освоения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ООП»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подх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требований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Обеспечить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внесение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корректив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содержательный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раздел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ООП: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скорректировать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рабочие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программы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предметам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курсам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внеурочной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деятельности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подходов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требований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Ввести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педагогическую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практику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систему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соответствии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методологией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модели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международного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исследования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PISA.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анализ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типичных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затруднений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различным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видам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1.5.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возможности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программ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внеурочной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деятельности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расширения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надпредметной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сферы,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включающей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ключевые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компетенции,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соответствующие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1.6.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Организовать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мероприятия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обмену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опытом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области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оценки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различных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уровнях.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lastRenderedPageBreak/>
        <w:t>1.7.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Выявить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педагогов,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успешно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применяют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методы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приемы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отдельных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видов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организовать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мастер-классы,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крытые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декады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педагогического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мастерства,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направленные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внутришкольное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квалификации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области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&lt;...&gt;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профессиональных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объединений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учителей: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Ввести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практику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преподавания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отдельных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предметов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методы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приемы,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способствующие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Проанализировать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причины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неуспешного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отдельных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групп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ганизовать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коррекционную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ликвидации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выявленных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проблем,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также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предупреждению.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полученные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данные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организации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внеурочной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деятельности,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время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внеклассных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мероприятий,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часов,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распределении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обязанностей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потенциал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современных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образовательных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технологий,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отдельных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е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тодик,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приемов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стратегий,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формирующих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результаты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способс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вующих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2.5.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Обратить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внимание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организацию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проектной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деятельности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поз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различных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видов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&lt;...&gt;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Fonts w:ascii="Times New Roman" w:hAnsi="Times New Roman" w:cs="Times New Roman"/>
          <w:sz w:val="26"/>
          <w:szCs w:val="26"/>
        </w:rPr>
        <w:t>Учителям­предметникам</w:t>
      </w:r>
      <w:proofErr w:type="spellEnd"/>
      <w:r w:rsidRPr="00D17C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преподающим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5–9-х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классах: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3.1.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Включить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содержание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разбор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выполнение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которые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процессе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исследования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были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низком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уровне.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3.2.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Выявить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проблемные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зоны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класса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целом,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так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отдельных</w:t>
      </w:r>
      <w:proofErr w:type="gram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обучающихся.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3.3.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сертифицированные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опубликованные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открытом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доступе,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систематически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РЭШ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время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закрепления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систематизации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знаний.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3.4.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рамках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текущего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контроля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промежуточной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аттестации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включать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типов,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аналогичные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представленным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диагностиках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3.5.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уроках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внеурочной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деятельности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предусматривать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направленные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интерпретировать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информацию,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представленную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различных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формах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(та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б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лицы,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диаграммы,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графики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реальных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зависимостей),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использованием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стат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стических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показателей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характеристики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реальных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явлений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процессов.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3.6.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Формировать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навык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установления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причинно-следственных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связей,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строить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логическое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рассуждение</w:t>
      </w:r>
      <w:proofErr w:type="gramEnd"/>
      <w:r w:rsidRPr="00D17C8C">
        <w:rPr>
          <w:rStyle w:val="propis"/>
          <w:rFonts w:ascii="Times New Roman" w:hAnsi="Times New Roman" w:cs="Times New Roman"/>
          <w:sz w:val="26"/>
          <w:szCs w:val="26"/>
        </w:rPr>
        <w:t>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умозаключение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(индуктивное,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дедуктивное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аналогии)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ы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воды.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3.7.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Совершенствовать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выдвижения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гипотезы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учебных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задач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нимания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необходимости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проверки.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lastRenderedPageBreak/>
        <w:t>3.8.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целью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креативного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мышления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включать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образовательную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деятел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ь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ность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выдвижение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разнообразных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идей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решение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социальных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проблем,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умения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нахождения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тексте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(или)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приведения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самостоятельных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арг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ментов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«за»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или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«против»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определенных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мнений,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суждений,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точек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зрения.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3.9.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Овладеть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конкретными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практическими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приемами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составлению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заданий,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напра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ленных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на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развитие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функциональной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грамотности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счет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посещения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курсов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повышения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квалификации,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участии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методической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работе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школы,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района,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региона.</w:t>
      </w:r>
    </w:p>
    <w:p w:rsidR="00D17C8C" w:rsidRPr="00D17C8C" w:rsidRDefault="00D17C8C" w:rsidP="00D17C8C">
      <w:pPr>
        <w:pStyle w:val="13NormDOC-txt"/>
        <w:spacing w:before="0"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&lt;...&gt;</w:t>
      </w:r>
    </w:p>
    <w:p w:rsidR="00D17C8C" w:rsidRPr="00D17C8C" w:rsidRDefault="00D17C8C" w:rsidP="00D17C8C">
      <w:pPr>
        <w:pStyle w:val="13NormDOC-txt"/>
        <w:spacing w:before="964" w:after="964" w:line="288" w:lineRule="auto"/>
        <w:ind w:left="283" w:right="283"/>
        <w:rPr>
          <w:rStyle w:val="propis"/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Заместитель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директора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по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качеству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образования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ab/>
      </w:r>
      <w:r w:rsidR="00764164">
        <w:rPr>
          <w:rStyle w:val="propis"/>
          <w:rFonts w:ascii="Times New Roman" w:hAnsi="Times New Roman" w:cs="Times New Roman"/>
          <w:sz w:val="26"/>
          <w:szCs w:val="26"/>
          <w:lang w:val="en-US"/>
        </w:rPr>
        <w:tab/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М.А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Маринина.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справкой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D17C8C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D17C8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17C8C">
        <w:rPr>
          <w:rFonts w:ascii="Times New Roman" w:hAnsi="Times New Roman" w:cs="Times New Roman"/>
          <w:sz w:val="26"/>
          <w:szCs w:val="26"/>
        </w:rPr>
        <w:t>):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Кротова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О.В.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proofErr w:type="spellStart"/>
      <w:r w:rsidRPr="00D17C8C">
        <w:rPr>
          <w:rStyle w:val="propis"/>
          <w:rFonts w:ascii="Times New Roman" w:hAnsi="Times New Roman" w:cs="Times New Roman"/>
          <w:sz w:val="26"/>
          <w:szCs w:val="26"/>
        </w:rPr>
        <w:t>Мелехина</w:t>
      </w:r>
      <w:proofErr w:type="spellEnd"/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М.А.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Акимова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М.В.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Сушкин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А.Б.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Ковалева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А.В.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Котова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Ю.Б.</w:t>
      </w:r>
    </w:p>
    <w:p w:rsidR="00D17C8C" w:rsidRPr="00D17C8C" w:rsidRDefault="00D17C8C" w:rsidP="00D17C8C">
      <w:pPr>
        <w:pStyle w:val="13NormDOC-txt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Макарова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D17C8C">
        <w:rPr>
          <w:rStyle w:val="propis"/>
          <w:rFonts w:ascii="Times New Roman" w:hAnsi="Times New Roman" w:cs="Times New Roman"/>
          <w:sz w:val="26"/>
          <w:szCs w:val="26"/>
        </w:rPr>
        <w:t>У.Д.</w:t>
      </w:r>
    </w:p>
    <w:p w:rsidR="00056C29" w:rsidRPr="00D17C8C" w:rsidRDefault="00D17C8C" w:rsidP="00D17C8C">
      <w:pPr>
        <w:rPr>
          <w:rFonts w:ascii="Times New Roman" w:hAnsi="Times New Roman" w:cs="Times New Roman"/>
          <w:sz w:val="26"/>
          <w:szCs w:val="26"/>
        </w:rPr>
      </w:pPr>
      <w:r w:rsidRPr="00D17C8C">
        <w:rPr>
          <w:rStyle w:val="propis"/>
          <w:rFonts w:ascii="Times New Roman" w:hAnsi="Times New Roman" w:cs="Times New Roman"/>
          <w:sz w:val="26"/>
          <w:szCs w:val="26"/>
        </w:rPr>
        <w:t>&lt;...&gt;</w:t>
      </w:r>
    </w:p>
    <w:sectPr w:rsidR="00056C29" w:rsidRPr="00D17C8C" w:rsidSect="00D17C8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CD" w:rsidRDefault="00CB22CD" w:rsidP="00D17C8C">
      <w:pPr>
        <w:spacing w:line="240" w:lineRule="auto"/>
      </w:pPr>
      <w:r>
        <w:separator/>
      </w:r>
    </w:p>
  </w:endnote>
  <w:endnote w:type="continuationSeparator" w:id="0">
    <w:p w:rsidR="00CB22CD" w:rsidRDefault="00CB22CD" w:rsidP="00D17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11829"/>
      <w:docPartObj>
        <w:docPartGallery w:val="Page Numbers (Bottom of Page)"/>
        <w:docPartUnique/>
      </w:docPartObj>
    </w:sdtPr>
    <w:sdtContent>
      <w:p w:rsidR="00CB22CD" w:rsidRDefault="00CB22CD">
        <w:pPr>
          <w:pStyle w:val="a5"/>
          <w:jc w:val="center"/>
        </w:pPr>
        <w:fldSimple w:instr=" PAGE   \* MERGEFORMAT ">
          <w:r w:rsidR="00A160DA">
            <w:rPr>
              <w:noProof/>
            </w:rPr>
            <w:t>21</w:t>
          </w:r>
        </w:fldSimple>
      </w:p>
    </w:sdtContent>
  </w:sdt>
  <w:p w:rsidR="00CB22CD" w:rsidRDefault="00CB22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CD" w:rsidRDefault="00CB22CD" w:rsidP="00D17C8C">
      <w:pPr>
        <w:spacing w:line="240" w:lineRule="auto"/>
      </w:pPr>
      <w:r>
        <w:separator/>
      </w:r>
    </w:p>
  </w:footnote>
  <w:footnote w:type="continuationSeparator" w:id="0">
    <w:p w:rsidR="00CB22CD" w:rsidRDefault="00CB22CD" w:rsidP="00D17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D8E"/>
    <w:multiLevelType w:val="hybridMultilevel"/>
    <w:tmpl w:val="6AB06F80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5EB32B5"/>
    <w:multiLevelType w:val="hybridMultilevel"/>
    <w:tmpl w:val="EAF084F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0455AD3"/>
    <w:multiLevelType w:val="hybridMultilevel"/>
    <w:tmpl w:val="0F660F6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65C4631C"/>
    <w:multiLevelType w:val="hybridMultilevel"/>
    <w:tmpl w:val="CF127340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C7A5E03"/>
    <w:multiLevelType w:val="hybridMultilevel"/>
    <w:tmpl w:val="A7EEC4C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1BF7275"/>
    <w:multiLevelType w:val="hybridMultilevel"/>
    <w:tmpl w:val="9FD2DA3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8C"/>
    <w:rsid w:val="00056C29"/>
    <w:rsid w:val="001D1E9F"/>
    <w:rsid w:val="005E4804"/>
    <w:rsid w:val="00764164"/>
    <w:rsid w:val="008A46E4"/>
    <w:rsid w:val="00A160DA"/>
    <w:rsid w:val="00BF0698"/>
    <w:rsid w:val="00CB22CD"/>
    <w:rsid w:val="00D1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C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C8C"/>
  </w:style>
  <w:style w:type="paragraph" w:styleId="a5">
    <w:name w:val="footer"/>
    <w:basedOn w:val="a"/>
    <w:link w:val="a6"/>
    <w:uiPriority w:val="99"/>
    <w:unhideWhenUsed/>
    <w:rsid w:val="00D17C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C8C"/>
  </w:style>
  <w:style w:type="paragraph" w:styleId="a7">
    <w:name w:val="Balloon Text"/>
    <w:basedOn w:val="a"/>
    <w:link w:val="a8"/>
    <w:uiPriority w:val="99"/>
    <w:semiHidden/>
    <w:unhideWhenUsed/>
    <w:rsid w:val="001D1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E9F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D17C8C"/>
    <w:rPr>
      <w:rFonts w:ascii="CenturySchlbkCyr" w:hAnsi="CenturySchlbkCyr" w:cs="CenturySchlbkCyr"/>
      <w:i/>
      <w:iCs/>
      <w:sz w:val="18"/>
      <w:szCs w:val="18"/>
      <w:u w:val="none"/>
    </w:rPr>
  </w:style>
  <w:style w:type="paragraph" w:customStyle="1" w:styleId="13NormDOC-header-1">
    <w:name w:val="13NormDOC-header-1"/>
    <w:basedOn w:val="17PRIL-txt"/>
    <w:uiPriority w:val="99"/>
    <w:rsid w:val="00D17C8C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D17C8C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07BODY-txt">
    <w:name w:val="07BODY-txt"/>
    <w:basedOn w:val="a9"/>
    <w:uiPriority w:val="99"/>
    <w:rsid w:val="00D17C8C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9">
    <w:name w:val="[Без стиля]"/>
    <w:rsid w:val="00D17C8C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07BODY-txt"/>
    <w:uiPriority w:val="99"/>
    <w:rsid w:val="00D17C8C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character" w:customStyle="1" w:styleId="Italic">
    <w:name w:val="Italic"/>
    <w:uiPriority w:val="99"/>
    <w:rsid w:val="00D17C8C"/>
    <w:rPr>
      <w:i/>
      <w:iCs/>
    </w:rPr>
  </w:style>
  <w:style w:type="paragraph" w:customStyle="1" w:styleId="17PRIL-tabl-hroom">
    <w:name w:val="17PRIL-tabl-hroom"/>
    <w:basedOn w:val="17PRIL-txt"/>
    <w:uiPriority w:val="99"/>
    <w:rsid w:val="00D17C8C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D17C8C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D17C8C"/>
    <w:rPr>
      <w:b/>
      <w:bCs/>
    </w:rPr>
  </w:style>
  <w:style w:type="paragraph" w:customStyle="1" w:styleId="13NormDOC-header-2">
    <w:name w:val="13NormDOC-header-2"/>
    <w:basedOn w:val="17PRIL-txt"/>
    <w:uiPriority w:val="99"/>
    <w:rsid w:val="00D17C8C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D17C8C"/>
    <w:pPr>
      <w:spacing w:line="220" w:lineRule="atLeast"/>
      <w:ind w:left="567" w:right="283" w:hanging="227"/>
    </w:pPr>
    <w:rPr>
      <w:rFonts w:ascii="TextBookC" w:hAnsi="TextBookC" w:cs="TextBook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3</cp:revision>
  <dcterms:created xsi:type="dcterms:W3CDTF">2022-05-26T09:30:00Z</dcterms:created>
  <dcterms:modified xsi:type="dcterms:W3CDTF">2022-05-26T09:58:00Z</dcterms:modified>
</cp:coreProperties>
</file>